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before="0" w:after="0"/>
        <w:ind w:left="0" w:hanging="0"/>
        <w:jc w:val="center"/>
        <w:outlineLvl w:val="0"/>
        <w:rPr>
          <w:rFonts w:eastAsia="Times New Roman" w:cs="Times New Roman"/>
          <w:b/>
          <w:b/>
          <w:bCs/>
          <w:kern w:val="2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kern w:val="2"/>
          <w:sz w:val="24"/>
          <w:szCs w:val="24"/>
          <w:lang w:eastAsia="ru-RU"/>
        </w:rPr>
        <w:t xml:space="preserve">ЛИЦЕНЗИОННЫЙ ДОГОВОР </w:t>
      </w:r>
      <w:r>
        <w:rPr>
          <w:rFonts w:eastAsia="Times New Roman" w:cs="Times New Roman"/>
          <w:b/>
          <w:bCs/>
          <w:kern w:val="2"/>
          <w:sz w:val="24"/>
          <w:szCs w:val="24"/>
          <w:shd w:fill="FFFF00" w:val="clear"/>
          <w:lang w:eastAsia="ru-RU"/>
        </w:rPr>
        <w:t>№____</w:t>
      </w:r>
    </w:p>
    <w:p>
      <w:pPr>
        <w:pStyle w:val="NormalWeb"/>
        <w:tabs>
          <w:tab w:val="clear" w:pos="708"/>
          <w:tab w:val="left" w:pos="6521" w:leader="none"/>
        </w:tabs>
        <w:spacing w:beforeAutospacing="0" w:before="0" w:afterAutospacing="0" w:after="0"/>
        <w:rPr/>
      </w:pPr>
      <w:r>
        <w:rPr/>
      </w:r>
    </w:p>
    <w:p>
      <w:pPr>
        <w:pStyle w:val="NormalWeb"/>
        <w:tabs>
          <w:tab w:val="clear" w:pos="708"/>
          <w:tab w:val="left" w:pos="6521" w:leader="none"/>
        </w:tabs>
        <w:spacing w:beforeAutospacing="0" w:before="0" w:afterAutospacing="0" w:after="0"/>
        <w:rPr/>
      </w:pPr>
      <w:r>
        <w:rPr/>
        <w:t xml:space="preserve">г. Ярославль                                                                                   </w:t>
      </w:r>
      <w:r>
        <w:rPr>
          <w:highlight w:val="yellow"/>
        </w:rPr>
        <w:t xml:space="preserve">«____» ______________ 20___ </w:t>
      </w:r>
      <w:r>
        <w:rPr/>
        <w:t>г.</w:t>
      </w:r>
    </w:p>
    <w:p>
      <w:pPr>
        <w:pStyle w:val="Normal"/>
        <w:spacing w:before="0" w:after="0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pStyle w:val="NormalWeb"/>
        <w:spacing w:beforeAutospacing="0" w:before="0" w:afterAutospacing="0" w:after="0"/>
        <w:jc w:val="both"/>
        <w:rPr/>
      </w:pPr>
      <w:r>
        <w:rPr>
          <w:b/>
        </w:rPr>
        <w:t xml:space="preserve">Общество с ограниченной ответственностью </w:t>
      </w:r>
      <w:r>
        <w:rPr>
          <w:b/>
          <w:bCs/>
          <w:color w:val="333333"/>
          <w:shd w:fill="FFFFFF" w:val="clear"/>
        </w:rPr>
        <w:t>«ЭКСПОРТБАЗА»</w:t>
      </w:r>
      <w:r>
        <w:rPr>
          <w:bCs/>
          <w:color w:val="333333"/>
          <w:shd w:fill="FFFFFF" w:val="clear"/>
        </w:rPr>
        <w:t xml:space="preserve"> </w:t>
      </w:r>
      <w:r>
        <w:rPr>
          <w:rFonts w:eastAsia="Arial"/>
        </w:rPr>
        <w:t xml:space="preserve">в лице </w:t>
      </w:r>
      <w:r>
        <w:rPr/>
        <w:t>директора Колтыгина Ивана Вадимовича</w:t>
      </w:r>
      <w:r>
        <w:rPr>
          <w:rFonts w:eastAsia="Arial"/>
        </w:rPr>
        <w:t xml:space="preserve">, действующего на основании устава именуемая в дальнейшем «Лицензиар», </w:t>
      </w:r>
      <w:r>
        <w:rPr/>
        <w:t xml:space="preserve">с одной стороны, и </w:t>
      </w:r>
      <w:r>
        <w:rPr>
          <w:b/>
        </w:rPr>
        <w:t xml:space="preserve">Общество с ограниченной ответственностью </w:t>
      </w:r>
      <w:r>
        <w:rPr>
          <w:rFonts w:eastAsia="Arial"/>
          <w:highlight w:val="yellow"/>
        </w:rPr>
        <w:t>____________________,</w:t>
      </w:r>
      <w:r>
        <w:rPr>
          <w:rFonts w:eastAsia="Arial"/>
        </w:rPr>
        <w:t xml:space="preserve"> </w:t>
      </w:r>
      <w:r>
        <w:rPr/>
        <w:t>именуемое в дальнейшем «</w:t>
      </w:r>
      <w:r>
        <w:rPr>
          <w:b/>
        </w:rPr>
        <w:t>Лицензиат</w:t>
      </w:r>
      <w:r>
        <w:rPr/>
        <w:t xml:space="preserve">», в лице генерального директора </w:t>
      </w:r>
      <w:r>
        <w:rPr>
          <w:highlight w:val="yellow"/>
        </w:rPr>
        <w:t>____________________</w:t>
      </w:r>
      <w:r>
        <w:rPr/>
        <w:t>, действующего на основании устава, с другой стороны, совместно в дальнейшем именуемые «</w:t>
      </w:r>
      <w:r>
        <w:rPr>
          <w:b/>
        </w:rPr>
        <w:t>Стороны</w:t>
      </w:r>
      <w:r>
        <w:rPr/>
        <w:t>», а по отдельности – «</w:t>
      </w:r>
      <w:r>
        <w:rPr>
          <w:b/>
        </w:rPr>
        <w:t>Сторона</w:t>
      </w:r>
      <w:r>
        <w:rPr/>
        <w:t>», заключили настоящий лицензионный договор (далее – «</w:t>
      </w:r>
      <w:r>
        <w:rPr>
          <w:b/>
        </w:rPr>
        <w:t>Договор</w:t>
      </w:r>
      <w:r>
        <w:rPr/>
        <w:t>») о нижеследующем: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120" w:after="120"/>
        <w:ind w:left="0" w:hanging="0"/>
        <w:contextualSpacing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ТЕРМИНЫ И ОПРЕДЕЛЕНИЯ </w:t>
      </w:r>
    </w:p>
    <w:p>
      <w:pPr>
        <w:pStyle w:val="Normal"/>
        <w:shd w:val="clear" w:color="auto" w:fill="FFFFFF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Для целей Договора используются следующие термины и определения: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Сервис</w:t>
      </w:r>
      <w:r>
        <w:rPr>
          <w:rFonts w:ascii="Times New Roman" w:hAnsi="Times New Roman"/>
          <w:sz w:val="24"/>
          <w:szCs w:val="24"/>
        </w:rPr>
        <w:t xml:space="preserve"> – программа для ЭВМ, являющееся онлайн-сервисом </w:t>
      </w: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«</w:t>
      </w:r>
      <w:r>
        <w:rPr>
          <w:rFonts w:eastAsia="Times New Roman" w:ascii="Times New Roman" w:hAnsi="Times New Roman"/>
          <w:color w:val="000000"/>
          <w:sz w:val="24"/>
          <w:szCs w:val="24"/>
          <w:lang w:val="en-US" w:eastAsia="ru-RU"/>
        </w:rPr>
        <w:t>E</w:t>
      </w: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xport-</w:t>
      </w:r>
      <w:r>
        <w:rPr>
          <w:rFonts w:eastAsia="Times New Roman" w:ascii="Times New Roman" w:hAnsi="Times New Roman"/>
          <w:color w:val="000000"/>
          <w:sz w:val="24"/>
          <w:szCs w:val="24"/>
          <w:lang w:val="en-US" w:eastAsia="ru-RU"/>
        </w:rPr>
        <w:t>B</w:t>
      </w: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 xml:space="preserve">ase», </w:t>
      </w:r>
      <w:r>
        <w:rPr>
          <w:rFonts w:ascii="Times New Roman" w:hAnsi="Times New Roman"/>
          <w:sz w:val="24"/>
          <w:szCs w:val="24"/>
        </w:rPr>
        <w:t>включающий в себя Сайт, а также серверную часть. Сервис представляет собой электронный интернет-справочник юридических лиц и индивидуальных предпринимателей, формируемый на основе парсинга данных из открытых источников со встроенным функционалом поискового робота, предназначенного для получения результатов в форме автоматизированного поискового Отчета, основанного на Запросах, направляемых Лицензиатом в соответствии с функционалом Сервиса. Сервис размещён на Сайте.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Сайт - </w:t>
      </w:r>
      <w:r>
        <w:rPr>
          <w:rFonts w:ascii="Times New Roman" w:hAnsi="Times New Roman"/>
          <w:sz w:val="24"/>
          <w:szCs w:val="24"/>
        </w:rPr>
        <w:t xml:space="preserve">интернет-ресурс, размещенный на сайте по адресу: </w:t>
      </w:r>
      <w:hyperlink r:id="rId2">
        <w:r>
          <w:rPr>
            <w:rStyle w:val="InternetLink"/>
            <w:rFonts w:ascii="Times New Roman" w:hAnsi="Times New Roman"/>
            <w:sz w:val="24"/>
            <w:szCs w:val="24"/>
          </w:rPr>
          <w:t>https://export-base.ru/</w:t>
        </w:r>
      </w:hyperlink>
      <w:r>
        <w:rPr>
          <w:rFonts w:ascii="Times New Roman" w:hAnsi="Times New Roman"/>
          <w:sz w:val="24"/>
          <w:szCs w:val="24"/>
        </w:rPr>
        <w:t xml:space="preserve"> (включая все уровни указанного домена, как функционирующие на дату заключения настоящего Договора, так и запускаемые, и вводимые в эксплуатацию в течение всего срока его действия).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Отчёт –</w:t>
      </w:r>
      <w:r>
        <w:rPr>
          <w:rFonts w:ascii="Times New Roman" w:hAnsi="Times New Roman"/>
          <w:sz w:val="24"/>
          <w:szCs w:val="24"/>
        </w:rPr>
        <w:t xml:space="preserve"> автоматизированный результат поиска по Запросу Лицензиата, формируемый Сервисом в виде базы данных.</w:t>
      </w:r>
    </w:p>
    <w:p>
      <w:pPr>
        <w:pStyle w:val="ListParagraph"/>
        <w:numPr>
          <w:ilvl w:val="1"/>
          <w:numId w:val="1"/>
        </w:numPr>
        <w:shd w:val="clear" w:color="auto" w:fill="FFFFFF"/>
        <w:spacing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Запрос </w:t>
      </w:r>
      <w:r>
        <w:rPr>
          <w:rFonts w:ascii="Times New Roman" w:hAnsi="Times New Roman"/>
          <w:sz w:val="24"/>
          <w:szCs w:val="24"/>
        </w:rPr>
        <w:t>– это введенная Лицензиатом информация в поисковую строку Сервиса в целях поиска информации и получения результатов в форме автоматизированного поискового Отчета.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Тариф </w:t>
      </w:r>
      <w:r>
        <w:rPr>
          <w:rFonts w:ascii="Times New Roman" w:hAnsi="Times New Roman"/>
          <w:sz w:val="24"/>
          <w:szCs w:val="24"/>
        </w:rPr>
        <w:t>– стоимость доступа к отдельным функциям Сервиса, указанная на Сайте в соответствующих разделах.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Личный кабинет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ru-RU"/>
        </w:rPr>
        <w:t>–</w:t>
      </w: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 xml:space="preserve"> персональный раздел Сервиса, созданный для конкретного Лицензиата, доступ к которому возможен только при вводе Учетных данных.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ru-RU"/>
        </w:rPr>
        <w:t>Учетные данные –</w:t>
      </w: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ascii="Times New Roman" w:hAnsi="Times New Roman"/>
          <w:color w:val="000000"/>
          <w:sz w:val="24"/>
          <w:szCs w:val="24"/>
          <w:shd w:fill="FFFFFF" w:val="clear"/>
          <w:lang w:eastAsia="ru-RU"/>
        </w:rPr>
        <w:t>уникальный логин и пароль Лицензиата, указываемый при регистрации Лицензиата в Сервисе и используемые для доступа Лицензиата в Личный кабинет.</w:t>
      </w:r>
    </w:p>
    <w:p>
      <w:pPr>
        <w:pStyle w:val="Normal"/>
        <w:numPr>
          <w:ilvl w:val="1"/>
          <w:numId w:val="1"/>
        </w:numPr>
        <w:spacing w:before="0"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API-Сервиса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>
        <w:rPr>
          <w:color w:val="000000"/>
          <w:sz w:val="24"/>
          <w:szCs w:val="24"/>
          <w:shd w:fill="FFFFFF" w:val="clear"/>
        </w:rPr>
        <w:t xml:space="preserve"> </w:t>
      </w:r>
      <w:r>
        <w:rPr>
          <w:sz w:val="24"/>
          <w:szCs w:val="24"/>
        </w:rPr>
        <w:t>набор программных средств для встраивания в другие сайты,</w:t>
      </w:r>
      <w:r>
        <w:rPr>
          <w:color w:val="000000"/>
          <w:sz w:val="24"/>
          <w:szCs w:val="24"/>
          <w:shd w:fill="FFFFFF" w:val="clear"/>
        </w:rPr>
        <w:t xml:space="preserve"> которые позволяют получить доступ к функционалу Сервиса.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120" w:after="120"/>
        <w:contextualSpacing w:val="false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ПРЕДМЕТ ДОГОВОРА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Лицензиар предоставляет Лицензиату, действующую во всем мире, возмездную, непередаваемую, неисключительную, отзывную и не подлежащую сублицензированию лицензию на доступ и использование функций Сервиса, доступных Лицензиату посредством API-Сервиса. В случаях, предусмотренных настоящим Договором, отдельные функции Сервиса предоставляются платно. 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Лицензиат понимает и принимает, что Сервис носит исключительно информационный характер, Лицензиар не оказывает услуг по получению информации о частной жизни физических лиц или их персональных данных.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 действие настоящего Договора подпадают все существующие (работающие) на данный момент функции Сервиса, а также любые их последующие модификации и появляющиеся в дальнейшем новые функции Сервиса.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120" w:after="120"/>
        <w:contextualSpacing w:val="false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ПРАВА И ОБЯЗАННОСТИ СТОРОН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Лицензиар вправе: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Модифицировать Сервис и API-Сервиса по своему усмотрению, в том числе добавлять новые функции или вносить улучшения, а также удалять некоторые функции. Если такие действия не оказывают существенного влияния на права или обязанности Лицензиата, Лицензиар имеет право не уведомлять Лицензиата о выполнении таких действий. 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Полностью приостановить предоставление доступа к Сервису посредством API-Сервиса, с предварительным уведомлением Лицензиата, либо без него.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любое время изменять стоимость Тарифов.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Получать плату за отдельные функции Сервиса.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Блокировать доступ к Сервису посредством API-Сервиса в случае нарушения им условий настоящего Договора или получения требования об этом от уполномоченных государственных органов или суда.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Предоставить доступную информацию о Лицензиате уполномоченным на то органам государственной власти и суду по их запросу в случаях, установленных законом.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Настоящим Договором могут быть предусмотрены другие права Лицензиара.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Лицензиар обязуется: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Предоставить доступ к Сервису с помощью API-Сервиса после заключения настоящего Договора.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Предпринимать разумные меры к защите персональных данных Лицензиата, а также иной охраняемой законом информации в соответствии с Политикой в отношении обработки персональных данных.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Настоящим Договором могут быть предусмотрены другие обязанности Лицензиата.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Times New Roman" w:hAnsi="Times New Roman" w:eastAsia="Times New Roman"/>
          <w:b/>
          <w:b/>
          <w:bCs/>
          <w:sz w:val="24"/>
          <w:szCs w:val="24"/>
        </w:rPr>
      </w:pPr>
      <w:r>
        <w:rPr>
          <w:rFonts w:eastAsia="Times New Roman" w:ascii="Times New Roman" w:hAnsi="Times New Roman"/>
          <w:b/>
          <w:bCs/>
          <w:sz w:val="24"/>
          <w:szCs w:val="24"/>
        </w:rPr>
        <w:t>Лицензиат вправе: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Использовать функционал Сервиса в соответствии с условиями настоящего Договора.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Получать достоверную информацию о работе Сервиса.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 xml:space="preserve">Обращаться к Лицензиару по адресу электронной почты указанную в настоящем договоре или на Сайте с целью прояснения технических и иных возникающих вопросов по работе с Сервисом с помощью </w:t>
      </w:r>
      <w:r>
        <w:rPr>
          <w:rFonts w:ascii="Times New Roman" w:hAnsi="Times New Roman"/>
          <w:sz w:val="24"/>
          <w:szCs w:val="24"/>
        </w:rPr>
        <w:t>API-Сервиса</w:t>
      </w:r>
      <w:r>
        <w:rPr>
          <w:rFonts w:eastAsia="Times New Roman" w:ascii="Times New Roman" w:hAnsi="Times New Roman"/>
          <w:sz w:val="24"/>
          <w:szCs w:val="24"/>
        </w:rPr>
        <w:t>.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Настоящим Договором могут быть предусмотрены другие права Лицензиата.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rPr>
          <w:rFonts w:ascii="Times New Roman" w:hAnsi="Times New Roman" w:eastAsia="Times New Roman"/>
          <w:b/>
          <w:b/>
          <w:bCs/>
          <w:sz w:val="24"/>
          <w:szCs w:val="24"/>
        </w:rPr>
      </w:pPr>
      <w:r>
        <w:rPr>
          <w:rFonts w:eastAsia="Times New Roman" w:ascii="Times New Roman" w:hAnsi="Times New Roman"/>
          <w:b/>
          <w:bCs/>
          <w:sz w:val="24"/>
          <w:szCs w:val="24"/>
        </w:rPr>
        <w:t>Лицензиат обязуется: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Соблюдать положения настоящего Договора.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Не копировать, не изменять, не создавать производные работы, не распространять (в том числе путем продажи) в коммерческих или иных целях любую информацию, полученную в Сервисе, в том числе размещенную в Сервисе, любые объекты, охраняемые авторским правом, изображения, товарные знаки, фирменные наименования, знаки обслуживания или другую интеллектуальную собственность, какие-либо материалы или служебную информацию, доступную через Сервис без письменного разрешения правообладателя. Соблюдать имущественные и неимущественные права Лицензиара и иных правообладателей при использовании Сервиса.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240" w:after="0"/>
        <w:contextualSpacing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 xml:space="preserve">Не исследовать, не сканировать и не тестировать уязвимость Сервиса, </w:t>
      </w:r>
      <w:r>
        <w:rPr>
          <w:rFonts w:ascii="Times New Roman" w:hAnsi="Times New Roman"/>
          <w:sz w:val="24"/>
          <w:szCs w:val="24"/>
        </w:rPr>
        <w:t>API-Сервиса</w:t>
      </w:r>
      <w:r>
        <w:rPr>
          <w:rFonts w:eastAsia="Times New Roman" w:ascii="Times New Roman" w:hAnsi="Times New Roman"/>
          <w:sz w:val="24"/>
          <w:szCs w:val="24"/>
        </w:rPr>
        <w:t xml:space="preserve">, любой системы или сети. Не пытаться обойти ограничения, установленные Сервисом и </w:t>
      </w:r>
      <w:r>
        <w:rPr>
          <w:rFonts w:ascii="Times New Roman" w:hAnsi="Times New Roman"/>
          <w:sz w:val="24"/>
          <w:szCs w:val="24"/>
        </w:rPr>
        <w:t>API-Сервиса</w:t>
      </w:r>
      <w:r>
        <w:rPr>
          <w:rFonts w:eastAsia="Times New Roman" w:ascii="Times New Roman" w:hAnsi="Times New Roman"/>
          <w:sz w:val="24"/>
          <w:szCs w:val="24"/>
        </w:rPr>
        <w:t>.</w:t>
      </w:r>
    </w:p>
    <w:p>
      <w:pPr>
        <w:pStyle w:val="ListParagraph"/>
        <w:numPr>
          <w:ilvl w:val="2"/>
          <w:numId w:val="1"/>
        </w:numPr>
        <w:spacing w:lineRule="auto" w:line="240" w:before="24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 xml:space="preserve">Не нарушать нормальной работы Сервиса и </w:t>
      </w:r>
      <w:r>
        <w:rPr>
          <w:rFonts w:ascii="Times New Roman" w:hAnsi="Times New Roman"/>
          <w:sz w:val="24"/>
          <w:szCs w:val="24"/>
        </w:rPr>
        <w:t>API-Сервиса</w:t>
      </w:r>
      <w:r>
        <w:rPr>
          <w:rFonts w:eastAsia="Times New Roman" w:ascii="Times New Roman" w:hAnsi="Times New Roman"/>
          <w:sz w:val="24"/>
          <w:szCs w:val="24"/>
        </w:rPr>
        <w:t>.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Настоящим Договором могут быть предусмотрены другие обязанности Лицензиата.</w:t>
      </w:r>
    </w:p>
    <w:p>
      <w:pPr>
        <w:pStyle w:val="ListParagraph"/>
        <w:numPr>
          <w:ilvl w:val="0"/>
          <w:numId w:val="1"/>
        </w:numPr>
        <w:spacing w:lineRule="auto" w:line="240" w:before="120" w:after="120"/>
        <w:contextualSpacing w:val="false"/>
        <w:jc w:val="center"/>
        <w:outlineLvl w:val="0"/>
        <w:rPr>
          <w:rFonts w:ascii="Times New Roman" w:hAnsi="Times New Roman" w:eastAsia="Times New Roman"/>
          <w:b/>
          <w:b/>
          <w:color w:val="000000"/>
          <w:kern w:val="2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color w:val="000000"/>
          <w:kern w:val="2"/>
          <w:sz w:val="24"/>
          <w:szCs w:val="24"/>
          <w:lang w:eastAsia="ru-RU"/>
        </w:rPr>
        <w:t>СТОИМОСТЬ ДОСТУПА К ОТДЕЛЬНЫМ ФУНКЦИЯМ СЕРВИСА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 xml:space="preserve">Лицензиат оплачивает Лицензиару доступ к отдельным функциям Сервиса посредством </w:t>
      </w:r>
      <w:r>
        <w:rPr>
          <w:rFonts w:eastAsia="Times New Roman" w:ascii="Times New Roman" w:hAnsi="Times New Roman"/>
          <w:color w:val="000000"/>
          <w:sz w:val="24"/>
          <w:szCs w:val="24"/>
          <w:lang w:val="en-US" w:eastAsia="ru-RU"/>
        </w:rPr>
        <w:t>API</w:t>
      </w: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-Сервиса в соответствии с Тарифами. Лицензиар в одностороннем порядке устанавливает стоимость Тарифов для оплаты отдельных функций Сервиса. Информация о стоимости Тарифов и перечень платных функций указаны на Сайте</w:t>
      </w:r>
      <w:r>
        <w:rPr>
          <w:rFonts w:eastAsia="Times New Roman" w:ascii="Times New Roman" w:hAnsi="Times New Roman"/>
          <w:bCs/>
          <w:color w:val="000000"/>
          <w:sz w:val="24"/>
          <w:szCs w:val="24"/>
          <w:lang w:eastAsia="ru-RU"/>
        </w:rPr>
        <w:t xml:space="preserve"> в соответствующих разделах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ru-RU"/>
        </w:rPr>
        <w:t xml:space="preserve">. 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Оплата доступа к платным функциям производится Лицензиатом в российских рублях в безналичном порядке путём пополнения баланса в Личном кабинете или иным способом, предусмотренным Сервисом.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Доступ к платным функциям предоставляется Лицензиату на условиях предварительной оплаты в размере 100% (ста процентов) от стоимости Тарифов.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Обязательства Лицензиара по предоставлению доступа к платным функциям, считаются исполненными с момента предоставления доступа к соответствующей функции. Неиспользование платной функции, к которой предоставлен доступ, а также отказ от его использования в дальнейшем не влечет изменение стоимости оплаченного Тарифа или возврата денежных средств.</w:t>
      </w:r>
    </w:p>
    <w:p>
      <w:pPr>
        <w:pStyle w:val="ListParagraph"/>
        <w:numPr>
          <w:ilvl w:val="0"/>
          <w:numId w:val="1"/>
        </w:numPr>
        <w:spacing w:lineRule="auto" w:line="240" w:before="120" w:after="120"/>
        <w:contextualSpacing w:val="false"/>
        <w:jc w:val="center"/>
        <w:rPr>
          <w:rFonts w:ascii="Times New Roman" w:hAnsi="Times New Roman" w:eastAsia="Times New Roman"/>
          <w:b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  <w:t>ОТВЕТСТВЕННОСТЬ</w:t>
      </w:r>
    </w:p>
    <w:p>
      <w:pPr>
        <w:pStyle w:val="ListParagraph"/>
        <w:numPr>
          <w:ilvl w:val="1"/>
          <w:numId w:val="1"/>
        </w:numPr>
        <w:spacing w:lineRule="auto" w:line="240" w:before="0" w:after="1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Сервис и </w:t>
      </w:r>
      <w:r>
        <w:rPr>
          <w:rFonts w:eastAsia="Times New Roman" w:ascii="Times New Roman" w:hAnsi="Times New Roman"/>
          <w:color w:val="000000"/>
          <w:sz w:val="24"/>
          <w:szCs w:val="24"/>
          <w:lang w:val="en-US" w:eastAsia="ru-RU"/>
        </w:rPr>
        <w:t>API</w:t>
      </w: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-Сервиса</w:t>
      </w:r>
      <w:r>
        <w:rPr>
          <w:rFonts w:ascii="Times New Roman" w:hAnsi="Times New Roman"/>
          <w:sz w:val="24"/>
          <w:szCs w:val="24"/>
        </w:rPr>
        <w:t xml:space="preserve"> предоставляется по принципу «как есть». Лицензиар не гарантирует, что Сервис, </w:t>
      </w:r>
      <w:r>
        <w:rPr>
          <w:rFonts w:eastAsia="Times New Roman" w:ascii="Times New Roman" w:hAnsi="Times New Roman"/>
          <w:color w:val="000000"/>
          <w:sz w:val="24"/>
          <w:szCs w:val="24"/>
          <w:lang w:val="en-US" w:eastAsia="ru-RU"/>
        </w:rPr>
        <w:t>API</w:t>
      </w: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-Сервиса</w:t>
      </w:r>
      <w:r>
        <w:rPr>
          <w:rFonts w:ascii="Times New Roman" w:hAnsi="Times New Roman"/>
          <w:sz w:val="24"/>
          <w:szCs w:val="24"/>
        </w:rPr>
        <w:t xml:space="preserve"> или Отчёт не содержит ошибок, а также не несет ответственности за прямые или косвенные убытки (ущерб), включая упущенную выгоду, потерю конфиденциальной информации, возникшие у Лицензиата в результате использования Сервиса, </w:t>
      </w:r>
      <w:r>
        <w:rPr>
          <w:rFonts w:eastAsia="Times New Roman" w:ascii="Times New Roman" w:hAnsi="Times New Roman"/>
          <w:color w:val="000000"/>
          <w:sz w:val="24"/>
          <w:szCs w:val="24"/>
          <w:lang w:val="en-US" w:eastAsia="ru-RU"/>
        </w:rPr>
        <w:t>API</w:t>
      </w: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-Сервиса</w:t>
      </w:r>
      <w:r>
        <w:rPr>
          <w:rFonts w:ascii="Times New Roman" w:hAnsi="Times New Roman"/>
          <w:sz w:val="24"/>
          <w:szCs w:val="24"/>
        </w:rPr>
        <w:t xml:space="preserve"> или Отчёта, в том числе из-за возможных ошибок или опечаток в Сервисе или </w:t>
      </w:r>
      <w:r>
        <w:rPr>
          <w:rFonts w:eastAsia="Times New Roman" w:ascii="Times New Roman" w:hAnsi="Times New Roman"/>
          <w:color w:val="000000"/>
          <w:sz w:val="24"/>
          <w:szCs w:val="24"/>
          <w:lang w:val="en-US" w:eastAsia="ru-RU"/>
        </w:rPr>
        <w:t>API</w:t>
      </w: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-Сервиса</w:t>
      </w:r>
      <w:r>
        <w:rPr>
          <w:rFonts w:ascii="Times New Roman" w:hAnsi="Times New Roman"/>
          <w:sz w:val="24"/>
          <w:szCs w:val="24"/>
        </w:rPr>
        <w:t xml:space="preserve">. Лицензиар не гарантирует, что Сервис, </w:t>
      </w:r>
      <w:r>
        <w:rPr>
          <w:rFonts w:eastAsia="Times New Roman" w:ascii="Times New Roman" w:hAnsi="Times New Roman"/>
          <w:color w:val="000000"/>
          <w:sz w:val="24"/>
          <w:szCs w:val="24"/>
          <w:lang w:val="en-US" w:eastAsia="ru-RU"/>
        </w:rPr>
        <w:t>API</w:t>
      </w: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-Сервиса</w:t>
      </w:r>
      <w:r>
        <w:rPr>
          <w:rFonts w:ascii="Times New Roman" w:hAnsi="Times New Roman"/>
          <w:sz w:val="24"/>
          <w:szCs w:val="24"/>
        </w:rPr>
        <w:t xml:space="preserve"> и Отчёт будет соответствовать требованиям Лицензиата, а также не гарантирует работоспособность Сервиса или </w:t>
      </w:r>
      <w:r>
        <w:rPr>
          <w:rFonts w:eastAsia="Times New Roman" w:ascii="Times New Roman" w:hAnsi="Times New Roman"/>
          <w:color w:val="000000"/>
          <w:sz w:val="24"/>
          <w:szCs w:val="24"/>
          <w:lang w:val="en-US" w:eastAsia="ru-RU"/>
        </w:rPr>
        <w:t>API</w:t>
      </w: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-Сервиса</w:t>
      </w:r>
      <w:r>
        <w:rPr>
          <w:rFonts w:ascii="Times New Roman" w:hAnsi="Times New Roman"/>
          <w:sz w:val="24"/>
          <w:szCs w:val="24"/>
        </w:rPr>
        <w:t xml:space="preserve"> совместно с программами и оборудованием других изготовителей. Лицензиар не дает никаких гарантий относительно составляющих других программ, которые могут включаться в Сервис или </w:t>
      </w:r>
      <w:r>
        <w:rPr>
          <w:rFonts w:eastAsia="Times New Roman" w:ascii="Times New Roman" w:hAnsi="Times New Roman"/>
          <w:color w:val="000000"/>
          <w:sz w:val="24"/>
          <w:szCs w:val="24"/>
          <w:lang w:val="en-US" w:eastAsia="ru-RU"/>
        </w:rPr>
        <w:t>API</w:t>
      </w: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-Сервиса</w:t>
      </w:r>
      <w:r>
        <w:rPr>
          <w:rFonts w:ascii="Times New Roman" w:hAnsi="Times New Roman"/>
          <w:sz w:val="24"/>
          <w:szCs w:val="24"/>
        </w:rPr>
        <w:t xml:space="preserve"> и являются собственностью третьих лиц. Не гарантирует, что работа Сервиса и данные Отчёта будут соответствовать ожиданиям Лицензиата и Сервис будет предоставляться бесперебойно и безошибочно. </w:t>
      </w:r>
    </w:p>
    <w:p>
      <w:pPr>
        <w:pStyle w:val="ListParagraph"/>
        <w:numPr>
          <w:ilvl w:val="1"/>
          <w:numId w:val="1"/>
        </w:numPr>
        <w:spacing w:lineRule="auto" w:line="240" w:before="0" w:after="1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 xml:space="preserve">Лицензиар ни при каких условиях не несет ответственность за действия Лицензиата в Сервисе или </w:t>
      </w:r>
      <w:r>
        <w:rPr>
          <w:rFonts w:eastAsia="Times New Roman" w:ascii="Times New Roman" w:hAnsi="Times New Roman"/>
          <w:color w:val="000000"/>
          <w:sz w:val="24"/>
          <w:szCs w:val="24"/>
          <w:lang w:val="en-US" w:eastAsia="ru-RU"/>
        </w:rPr>
        <w:t>API</w:t>
      </w: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-Сервиса, в том числе за нарушения законодательства о персональных данных.</w:t>
      </w:r>
    </w:p>
    <w:p>
      <w:pPr>
        <w:pStyle w:val="ListParagraph"/>
        <w:numPr>
          <w:ilvl w:val="1"/>
          <w:numId w:val="1"/>
        </w:numPr>
        <w:spacing w:lineRule="auto" w:line="240" w:before="0" w:after="1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 xml:space="preserve">Лицензиар не гарантирует, что Сервис и </w:t>
      </w:r>
      <w:r>
        <w:rPr>
          <w:rFonts w:eastAsia="Times New Roman" w:ascii="Times New Roman" w:hAnsi="Times New Roman"/>
          <w:color w:val="000000"/>
          <w:sz w:val="24"/>
          <w:szCs w:val="24"/>
          <w:lang w:val="en-US" w:eastAsia="ru-RU"/>
        </w:rPr>
        <w:t>API</w:t>
      </w: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-Сервиса будет работать беспрерывно и безошибочно. В случае наличия ошибок и неисправностей Лицензиар устраняет их в кратчайшие сроки.</w:t>
      </w:r>
    </w:p>
    <w:p>
      <w:pPr>
        <w:pStyle w:val="ListParagraph"/>
        <w:numPr>
          <w:ilvl w:val="1"/>
          <w:numId w:val="1"/>
        </w:numPr>
        <w:spacing w:lineRule="auto" w:line="240" w:before="0" w:after="1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Лицензиат соглашается с тем, что любая передача любой информации по сети Интернет, в том числе по защищенным каналам связи в зашифрованном виде, не может быть гарантированно защищена от несанкционированного доступа к ней третьим лицам. В связи с этим Лицензиар не несет ответственности за любой ущерб, причиненный Лицензиату вследствие несанкционированного доступа третьих лиц к информации Лицензиата.</w:t>
      </w:r>
    </w:p>
    <w:p>
      <w:pPr>
        <w:pStyle w:val="ListParagraph"/>
        <w:numPr>
          <w:ilvl w:val="1"/>
          <w:numId w:val="1"/>
        </w:numPr>
        <w:spacing w:lineRule="auto" w:line="240" w:before="0" w:after="1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Лицензиар имеет право направлять Лицензиату информационные сообщения о работе Сервиса, </w:t>
      </w:r>
      <w:r>
        <w:rPr>
          <w:rFonts w:eastAsia="Times New Roman" w:ascii="Times New Roman" w:hAnsi="Times New Roman"/>
          <w:color w:val="000000"/>
          <w:sz w:val="24"/>
          <w:szCs w:val="24"/>
          <w:lang w:val="en-US" w:eastAsia="ru-RU"/>
        </w:rPr>
        <w:t>API</w:t>
      </w: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-Сервиса</w:t>
      </w:r>
      <w:r>
        <w:rPr>
          <w:rFonts w:ascii="Times New Roman" w:hAnsi="Times New Roman"/>
          <w:sz w:val="24"/>
          <w:szCs w:val="24"/>
        </w:rPr>
        <w:t xml:space="preserve"> и его функционала. </w:t>
      </w:r>
    </w:p>
    <w:p>
      <w:pPr>
        <w:pStyle w:val="ListParagraph"/>
        <w:numPr>
          <w:ilvl w:val="1"/>
          <w:numId w:val="1"/>
        </w:numPr>
        <w:spacing w:lineRule="auto" w:line="240" w:before="0" w:after="120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Лицензиар не несет ответственности перед Лицензиатом или перед любыми третьими лицами за сбой, неумышленный ущерб, включая упущенную выгоду или потерянные данные, вред чести, достоинству или деловой репутации, вызванный в связи с использованием Сервиса с помощью </w:t>
      </w:r>
      <w:r>
        <w:rPr>
          <w:rFonts w:eastAsia="Times New Roman" w:ascii="Times New Roman" w:hAnsi="Times New Roman"/>
          <w:color w:val="000000"/>
          <w:sz w:val="24"/>
          <w:szCs w:val="24"/>
          <w:lang w:val="en-US" w:eastAsia="ru-RU"/>
        </w:rPr>
        <w:t>API</w:t>
      </w: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-Сервиса</w:t>
      </w:r>
      <w:r>
        <w:rPr>
          <w:rFonts w:ascii="Times New Roman" w:hAnsi="Times New Roman"/>
          <w:sz w:val="24"/>
          <w:szCs w:val="24"/>
        </w:rPr>
        <w:t xml:space="preserve">, содержимого Сервиса или иных материалов, к которым Лицензиат или иные лица получили доступ с помощью </w:t>
      </w:r>
      <w:r>
        <w:rPr>
          <w:rFonts w:eastAsia="Times New Roman" w:ascii="Times New Roman" w:hAnsi="Times New Roman"/>
          <w:color w:val="000000"/>
          <w:sz w:val="24"/>
          <w:szCs w:val="24"/>
          <w:lang w:val="en-US" w:eastAsia="ru-RU"/>
        </w:rPr>
        <w:t>API</w:t>
      </w: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-Сервиса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ListParagraph"/>
        <w:numPr>
          <w:ilvl w:val="0"/>
          <w:numId w:val="1"/>
        </w:numPr>
        <w:spacing w:lineRule="auto" w:line="240" w:before="120" w:after="120"/>
        <w:contextualSpacing w:val="false"/>
        <w:jc w:val="center"/>
        <w:rPr>
          <w:rFonts w:ascii="Times New Roman" w:hAnsi="Times New Roman" w:eastAsia="Times New Roman"/>
          <w:b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  <w:t>СРОК ДЕЙСТВИЯ И ПОРЯДОК РАСТОРЖЕНИЯ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/>
        <w:jc w:val="both"/>
        <w:rPr>
          <w:rFonts w:ascii="Times New Roman" w:hAnsi="Times New Roman" w:eastAsia="Times New Roman"/>
          <w:b/>
          <w:b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Настоящий Договор вступает в силу с момента его заключения и действует бессрочно.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="240" w:after="0"/>
        <w:contextualSpacing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 xml:space="preserve">Лицензиар вправе без предварительного уведомления Лицензиата в случае нарушения Лицензиатом любого условия настоящего Договора расторгнуть его путем прекращения доступа к </w:t>
      </w:r>
      <w:r>
        <w:rPr>
          <w:rFonts w:eastAsia="Times New Roman" w:ascii="Times New Roman" w:hAnsi="Times New Roman"/>
          <w:color w:val="000000"/>
          <w:sz w:val="24"/>
          <w:szCs w:val="24"/>
          <w:lang w:val="en-US" w:eastAsia="ru-RU"/>
        </w:rPr>
        <w:t>API</w:t>
      </w: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-Сервиса</w:t>
      </w:r>
      <w:r>
        <w:rPr>
          <w:rFonts w:eastAsia="Times New Roman" w:ascii="Times New Roman" w:hAnsi="Times New Roman"/>
          <w:sz w:val="24"/>
          <w:szCs w:val="24"/>
        </w:rPr>
        <w:t xml:space="preserve">. 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="240" w:after="0"/>
        <w:contextualSpacing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 xml:space="preserve">Лицензиат может отказаться от условий настоящего Договора путем удаления </w:t>
      </w:r>
      <w:r>
        <w:rPr>
          <w:rFonts w:eastAsia="Times New Roman" w:ascii="Times New Roman" w:hAnsi="Times New Roman"/>
          <w:color w:val="000000"/>
          <w:sz w:val="24"/>
          <w:szCs w:val="24"/>
          <w:lang w:val="en-US" w:eastAsia="ru-RU"/>
        </w:rPr>
        <w:t>API</w:t>
      </w: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-Сервиса</w:t>
      </w:r>
      <w:r>
        <w:rPr>
          <w:rFonts w:eastAsia="Times New Roman" w:ascii="Times New Roman" w:hAnsi="Times New Roman"/>
          <w:sz w:val="24"/>
          <w:szCs w:val="24"/>
        </w:rPr>
        <w:t xml:space="preserve"> со своего сайта. </w:t>
      </w:r>
    </w:p>
    <w:p>
      <w:pPr>
        <w:pStyle w:val="ListParagraph"/>
        <w:numPr>
          <w:ilvl w:val="0"/>
          <w:numId w:val="1"/>
        </w:numPr>
        <w:spacing w:lineRule="auto" w:line="240" w:before="120" w:after="120"/>
        <w:contextualSpacing w:val="false"/>
        <w:jc w:val="center"/>
        <w:rPr>
          <w:rFonts w:ascii="Times New Roman" w:hAnsi="Times New Roman" w:eastAsia="Times New Roman"/>
          <w:b/>
          <w:b/>
          <w:bCs/>
          <w:sz w:val="24"/>
          <w:szCs w:val="24"/>
        </w:rPr>
      </w:pPr>
      <w:bookmarkStart w:id="0" w:name="_Hlk38410115"/>
      <w:r>
        <w:rPr>
          <w:rFonts w:eastAsia="Times New Roman" w:ascii="Times New Roman" w:hAnsi="Times New Roman"/>
          <w:b/>
          <w:bCs/>
          <w:sz w:val="24"/>
          <w:szCs w:val="24"/>
        </w:rPr>
        <w:t>ЗАКЛЮЧИТЕЛЬНЫЕ ПОЛОЖЕНИЯ</w:t>
      </w:r>
      <w:bookmarkEnd w:id="0"/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В случае возникновения споров или разногласий, связанных с соблюдением настоящего Договора, Лицензиат и Лицензиар приложат все усилия, чтобы решить их с помощью переговоров. Сторона, у которой возникли претензии и/или разногласия, направляет другой Стороне сообщение с указанием возникших претензий и/или разногласий.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="0" w:after="120"/>
        <w:contextualSpacing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Получатель претензии в течение 30 (тридцати) календарных дней со дня ее получения, письменно уведомляет заявителя претензии о результатах рассмотрения претензии.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="240" w:after="0"/>
        <w:contextualSpacing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При невозможности разрешить спор в добровольном порядке, любая из Сторон вправе обратиться в суд за защитой нарушенных прав.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="0" w:after="120"/>
        <w:contextualSpacing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Споры между Лицензиатом и Лицензиаром рассматриваются по месту нахождения Лицензиара.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В случае, если любые положения настоящего Договора окажутся не подлежащими применению, такие положения будут применяться в возможных пределах, наиболее соответствующих</w:t>
      </w:r>
      <w:bookmarkStart w:id="1" w:name="_Hlk63861792"/>
      <w:r>
        <w:rPr>
          <w:rFonts w:eastAsia="Times New Roman" w:ascii="Times New Roman" w:hAnsi="Times New Roman"/>
          <w:sz w:val="24"/>
          <w:szCs w:val="24"/>
        </w:rPr>
        <w:t xml:space="preserve">, по мнению Лицензиара, </w:t>
      </w:r>
      <w:bookmarkEnd w:id="1"/>
      <w:r>
        <w:rPr>
          <w:rFonts w:eastAsia="Times New Roman" w:ascii="Times New Roman" w:hAnsi="Times New Roman"/>
          <w:sz w:val="24"/>
          <w:szCs w:val="24"/>
        </w:rPr>
        <w:t>намерениям Сторон, а остальные положения Договора сохранят свою силу.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contextualSpacing/>
        <w:jc w:val="both"/>
        <w:rPr>
          <w:rFonts w:ascii="Times New Roman" w:hAnsi="Times New Roman" w:eastAsia="Times New Roman"/>
          <w:b/>
          <w:b/>
          <w:bCs/>
          <w:spacing w:val="3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</w:rPr>
        <w:t>В остальном, что не предусмотрено настоящим Соглашением, Стороны будут руководствоваться действующим законодательством Российской Федерации.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contextualSpacing/>
        <w:jc w:val="both"/>
        <w:rPr>
          <w:rFonts w:ascii="Times New Roman" w:hAnsi="Times New Roman" w:eastAsia="Times New Roman"/>
          <w:b/>
          <w:b/>
          <w:bCs/>
          <w:spacing w:val="3"/>
          <w:sz w:val="24"/>
          <w:szCs w:val="24"/>
        </w:rPr>
      </w:pPr>
      <w:r>
        <w:rPr>
          <w:rFonts w:eastAsia="Times New Roman" w:ascii="Times New Roman" w:hAnsi="Times New Roman"/>
          <w:spacing w:val="3"/>
          <w:sz w:val="24"/>
          <w:szCs w:val="24"/>
        </w:rPr>
        <w:t>В случае, если какие-либо условия настоящего Договора будут признаны утратившей юридическую силу и не подлежащее исполнению, остальные условия настоящего Договора сохраняют свою юридическую силу и подлежат исполнению.</w:t>
      </w:r>
    </w:p>
    <w:p>
      <w:pPr>
        <w:pStyle w:val="ListParagraph"/>
        <w:numPr>
          <w:ilvl w:val="1"/>
          <w:numId w:val="1"/>
        </w:numPr>
        <w:spacing w:lineRule="auto" w:line="24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pacing w:val="3"/>
          <w:sz w:val="24"/>
          <w:szCs w:val="24"/>
        </w:rPr>
        <w:t xml:space="preserve">Обмен сообщениями и документами, связанными с исполнением настоящего Договора, осуществляется обменом электронными сообщениями с использованием функций и возможностей Сервиса. В случае отсутствия у Лицензиата возможности </w:t>
      </w:r>
      <w:r>
        <w:rPr>
          <w:rFonts w:eastAsia="Times New Roman" w:ascii="Times New Roman" w:hAnsi="Times New Roman"/>
          <w:sz w:val="24"/>
          <w:szCs w:val="24"/>
        </w:rPr>
        <w:t>использовать функционал Сервиса Лицензиат может написать Лицензиару по адресу электронной почты,</w:t>
      </w:r>
      <w:bookmarkStart w:id="2" w:name="_GoBack"/>
      <w:bookmarkEnd w:id="2"/>
      <w:r>
        <w:rPr>
          <w:rFonts w:eastAsia="Times New Roman" w:ascii="Times New Roman" w:hAnsi="Times New Roman"/>
          <w:sz w:val="24"/>
          <w:szCs w:val="24"/>
        </w:rPr>
        <w:t xml:space="preserve"> указанному на Сайте.</w:t>
      </w:r>
    </w:p>
    <w:p>
      <w:pPr>
        <w:pStyle w:val="ListParagraph"/>
        <w:spacing w:before="240" w:after="120"/>
        <w:contextualSpacing w:val="false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ListParagraph"/>
        <w:spacing w:before="240" w:after="120"/>
        <w:contextualSpacing w:val="false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ListParagraph"/>
        <w:spacing w:before="240" w:after="120"/>
        <w:contextualSpacing w:val="false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ListParagraph"/>
        <w:spacing w:before="240" w:after="120"/>
        <w:contextualSpacing w:val="false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ListParagraph"/>
        <w:spacing w:before="240" w:after="120"/>
        <w:contextualSpacing w:val="false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ListParagraph"/>
        <w:spacing w:before="240" w:after="120"/>
        <w:contextualSpacing w:val="false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ListParagraph"/>
        <w:spacing w:before="240" w:after="120"/>
        <w:contextualSpacing w:val="false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ListParagraph"/>
        <w:spacing w:before="240" w:after="120"/>
        <w:contextualSpacing w:val="false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ListParagraph"/>
        <w:spacing w:before="240" w:after="120"/>
        <w:contextualSpacing w:val="false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ListParagraph"/>
        <w:spacing w:before="240" w:after="120"/>
        <w:contextualSpacing w:val="false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ListParagraph"/>
        <w:spacing w:before="240" w:after="120"/>
        <w:contextualSpacing w:val="false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ListParagraph"/>
        <w:spacing w:before="240" w:after="120"/>
        <w:contextualSpacing w:val="false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ListParagraph"/>
        <w:spacing w:before="240" w:after="120"/>
        <w:contextualSpacing w:val="false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ListParagraph"/>
        <w:spacing w:before="240" w:after="120"/>
        <w:contextualSpacing w:val="false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ListParagraph"/>
        <w:spacing w:before="240" w:after="120"/>
        <w:contextualSpacing w:val="false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ListParagraph"/>
        <w:spacing w:before="240" w:after="120"/>
        <w:contextualSpacing w:val="false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ListParagraph"/>
        <w:spacing w:before="240" w:after="120"/>
        <w:contextualSpacing w:val="false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ListParagraph"/>
        <w:spacing w:before="240" w:after="120"/>
        <w:contextualSpacing w:val="false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ListParagraph"/>
        <w:spacing w:before="240" w:after="120"/>
        <w:contextualSpacing w:val="false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240" w:after="120"/>
        <w:contextualSpacing w:val="false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АДРЕСА, РЕКВИЗИТЫ И ПОДПИСИ СТОРОН</w:t>
      </w:r>
    </w:p>
    <w:tbl>
      <w:tblPr>
        <w:tblW w:w="936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983"/>
        <w:gridCol w:w="1"/>
        <w:gridCol w:w="2785"/>
        <w:gridCol w:w="1"/>
        <w:gridCol w:w="1910"/>
        <w:gridCol w:w="1"/>
        <w:gridCol w:w="2679"/>
      </w:tblGrid>
      <w:tr>
        <w:trPr>
          <w:cantSplit w:val="true"/>
        </w:trPr>
        <w:tc>
          <w:tcPr>
            <w:tcW w:w="198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Style w:val="Msonormal"/>
                <w:sz w:val="24"/>
                <w:szCs w:val="24"/>
              </w:rPr>
              <w:t>Лицензиар</w:t>
            </w:r>
          </w:p>
        </w:tc>
        <w:tc>
          <w:tcPr>
            <w:tcW w:w="2785" w:type="dxa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" w:type="dxa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91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Style w:val="Msonormal"/>
                <w:sz w:val="24"/>
                <w:szCs w:val="24"/>
              </w:rPr>
              <w:t>Лицензиат</w:t>
            </w:r>
          </w:p>
        </w:tc>
        <w:tc>
          <w:tcPr>
            <w:tcW w:w="2679" w:type="dxa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98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Style w:val="Msonormal"/>
                <w:sz w:val="24"/>
                <w:szCs w:val="24"/>
              </w:rPr>
              <w:t>Наименование</w:t>
            </w:r>
          </w:p>
        </w:tc>
        <w:tc>
          <w:tcPr>
            <w:tcW w:w="2785" w:type="dxa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Style w:val="Msonormal"/>
                <w:sz w:val="24"/>
                <w:szCs w:val="24"/>
                <w:highlight w:val="yellow"/>
              </w:rPr>
              <w:t>_______________</w:t>
            </w:r>
          </w:p>
        </w:tc>
        <w:tc>
          <w:tcPr>
            <w:tcW w:w="1" w:type="dxa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91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Style w:val="Msonormal"/>
                <w:sz w:val="24"/>
                <w:szCs w:val="24"/>
              </w:rPr>
              <w:t>Наименование</w:t>
            </w:r>
          </w:p>
        </w:tc>
        <w:tc>
          <w:tcPr>
            <w:tcW w:w="2679" w:type="dxa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Style w:val="Msonormal"/>
                <w:sz w:val="24"/>
                <w:szCs w:val="24"/>
              </w:rPr>
              <w:t>ООО «ЭКСПОРТБАЗА»</w:t>
            </w:r>
          </w:p>
        </w:tc>
      </w:tr>
      <w:tr>
        <w:trPr>
          <w:cantSplit w:val="true"/>
        </w:trPr>
        <w:tc>
          <w:tcPr>
            <w:tcW w:w="198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Msonormal"/>
                <w:sz w:val="24"/>
                <w:szCs w:val="24"/>
              </w:rPr>
              <w:t xml:space="preserve">Юридический </w:t>
            </w:r>
          </w:p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Style w:val="Msonormal"/>
                <w:sz w:val="24"/>
                <w:szCs w:val="24"/>
              </w:rPr>
              <w:t>адрес:</w:t>
            </w:r>
          </w:p>
        </w:tc>
        <w:tc>
          <w:tcPr>
            <w:tcW w:w="2785" w:type="dxa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Style w:val="Msonormal"/>
                <w:sz w:val="24"/>
                <w:szCs w:val="24"/>
                <w:highlight w:val="yellow"/>
              </w:rPr>
              <w:t>_______________</w:t>
            </w:r>
          </w:p>
        </w:tc>
        <w:tc>
          <w:tcPr>
            <w:tcW w:w="1" w:type="dxa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91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Msonormal"/>
                <w:sz w:val="24"/>
                <w:szCs w:val="24"/>
              </w:rPr>
              <w:t xml:space="preserve">Юридический </w:t>
            </w:r>
          </w:p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Style w:val="Msonormal"/>
                <w:sz w:val="24"/>
                <w:szCs w:val="24"/>
              </w:rPr>
              <w:t>адрес:</w:t>
            </w:r>
          </w:p>
        </w:tc>
        <w:tc>
          <w:tcPr>
            <w:tcW w:w="2679" w:type="dxa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Style w:val="Msonormal"/>
                <w:sz w:val="24"/>
                <w:szCs w:val="24"/>
              </w:rPr>
              <w:t>150030, Россия, г. Ярославль, Московский пр-кт, д 97, оф 3-18</w:t>
            </w:r>
          </w:p>
        </w:tc>
      </w:tr>
      <w:tr>
        <w:trPr>
          <w:cantSplit w:val="true"/>
        </w:trPr>
        <w:tc>
          <w:tcPr>
            <w:tcW w:w="198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Style w:val="Msonormal"/>
                <w:sz w:val="24"/>
                <w:szCs w:val="24"/>
              </w:rPr>
              <w:t>Адрес для направления корреспонденции:</w:t>
            </w:r>
          </w:p>
        </w:tc>
        <w:tc>
          <w:tcPr>
            <w:tcW w:w="2785" w:type="dxa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Style w:val="Msonormal"/>
                <w:sz w:val="24"/>
                <w:szCs w:val="24"/>
                <w:highlight w:val="yellow"/>
              </w:rPr>
              <w:t>_______________</w:t>
            </w:r>
          </w:p>
        </w:tc>
        <w:tc>
          <w:tcPr>
            <w:tcW w:w="1" w:type="dxa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91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Style w:val="Msonormal"/>
                <w:sz w:val="24"/>
                <w:szCs w:val="24"/>
              </w:rPr>
              <w:t xml:space="preserve">Адрес </w:t>
              <w:br/>
              <w:t>для направления корреспонденции:</w:t>
            </w:r>
          </w:p>
        </w:tc>
        <w:tc>
          <w:tcPr>
            <w:tcW w:w="2679" w:type="dxa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Style w:val="Msonormal"/>
                <w:sz w:val="24"/>
                <w:szCs w:val="24"/>
              </w:rPr>
              <w:t xml:space="preserve">150030, Россия, </w:t>
              <w:br/>
              <w:t>г. Ярославль, Московский пр-кт, д 97, оф 3-18</w:t>
            </w:r>
          </w:p>
        </w:tc>
      </w:tr>
      <w:tr>
        <w:trPr>
          <w:cantSplit w:val="true"/>
        </w:trPr>
        <w:tc>
          <w:tcPr>
            <w:tcW w:w="198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Style w:val="Msonormal"/>
                <w:sz w:val="24"/>
                <w:szCs w:val="24"/>
              </w:rPr>
              <w:t>ИНН:</w:t>
            </w:r>
          </w:p>
        </w:tc>
        <w:tc>
          <w:tcPr>
            <w:tcW w:w="2785" w:type="dxa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Style w:val="Msonormal"/>
                <w:sz w:val="24"/>
                <w:szCs w:val="24"/>
                <w:highlight w:val="yellow"/>
              </w:rPr>
              <w:t>_______________</w:t>
            </w:r>
          </w:p>
        </w:tc>
        <w:tc>
          <w:tcPr>
            <w:tcW w:w="1" w:type="dxa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91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Style w:val="Msonormal"/>
                <w:sz w:val="24"/>
                <w:szCs w:val="24"/>
              </w:rPr>
              <w:t>ИНН:</w:t>
            </w:r>
          </w:p>
        </w:tc>
        <w:tc>
          <w:tcPr>
            <w:tcW w:w="2679" w:type="dxa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Style w:val="Msonormal"/>
                <w:sz w:val="24"/>
                <w:szCs w:val="24"/>
              </w:rPr>
              <w:t>7604389505</w:t>
            </w:r>
          </w:p>
        </w:tc>
      </w:tr>
      <w:tr>
        <w:trPr>
          <w:trHeight w:val="285" w:hRule="atLeast"/>
          <w:cantSplit w:val="true"/>
        </w:trPr>
        <w:tc>
          <w:tcPr>
            <w:tcW w:w="1983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Style w:val="Msonormal"/>
                <w:sz w:val="24"/>
                <w:szCs w:val="24"/>
              </w:rPr>
              <w:t>ОГРН:</w:t>
            </w:r>
          </w:p>
        </w:tc>
        <w:tc>
          <w:tcPr>
            <w:tcW w:w="2786" w:type="dxa"/>
            <w:gridSpan w:val="2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Style w:val="Msonormal"/>
                <w:sz w:val="24"/>
                <w:szCs w:val="24"/>
                <w:highlight w:val="yellow"/>
              </w:rPr>
              <w:t>_______________</w:t>
            </w:r>
          </w:p>
        </w:tc>
        <w:tc>
          <w:tcPr>
            <w:tcW w:w="0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911" w:type="dxa"/>
            <w:gridSpan w:val="2"/>
            <w:tcBorders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Style w:val="Msonormal"/>
                <w:sz w:val="24"/>
                <w:szCs w:val="24"/>
              </w:rPr>
              <w:t>ОГРН:</w:t>
            </w:r>
          </w:p>
        </w:tc>
        <w:tc>
          <w:tcPr>
            <w:tcW w:w="2680" w:type="dxa"/>
            <w:gridSpan w:val="2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Style w:val="Msonormal"/>
                <w:sz w:val="24"/>
                <w:szCs w:val="24"/>
              </w:rPr>
              <w:t>1227600017996</w:t>
            </w:r>
          </w:p>
        </w:tc>
      </w:tr>
      <w:tr>
        <w:trPr>
          <w:trHeight w:val="270" w:hRule="atLeast"/>
          <w:cantSplit w:val="true"/>
        </w:trPr>
        <w:tc>
          <w:tcPr>
            <w:tcW w:w="1983" w:type="dxa"/>
            <w:vMerge w:val="restart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Msonormal"/>
                <w:sz w:val="24"/>
                <w:szCs w:val="24"/>
              </w:rPr>
              <w:t>Р/ счёт: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Msonormal"/>
                <w:sz w:val="24"/>
                <w:szCs w:val="24"/>
              </w:rPr>
              <w:t>Банк: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Msonormal"/>
                <w:sz w:val="24"/>
                <w:szCs w:val="24"/>
              </w:rPr>
              <w:t>БИК:</w:t>
            </w:r>
          </w:p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Style w:val="Msonormal"/>
                <w:sz w:val="24"/>
                <w:szCs w:val="24"/>
              </w:rPr>
              <w:t>Кор/ счёт:</w:t>
            </w:r>
          </w:p>
        </w:tc>
        <w:tc>
          <w:tcPr>
            <w:tcW w:w="2786" w:type="dxa"/>
            <w:gridSpan w:val="2"/>
            <w:vMerge w:val="restart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Msonormal"/>
                <w:sz w:val="24"/>
                <w:szCs w:val="24"/>
                <w:highlight w:val="yellow"/>
              </w:rPr>
              <w:t>_______________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Msonormal"/>
                <w:sz w:val="24"/>
                <w:szCs w:val="24"/>
                <w:highlight w:val="yellow"/>
              </w:rPr>
              <w:t>_______________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Msonormal"/>
                <w:sz w:val="24"/>
                <w:szCs w:val="24"/>
                <w:highlight w:val="yellow"/>
              </w:rPr>
              <w:t>_______________</w:t>
            </w:r>
          </w:p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Style w:val="Msonormal"/>
                <w:sz w:val="24"/>
                <w:szCs w:val="24"/>
                <w:highlight w:val="yellow"/>
              </w:rPr>
              <w:t>_______________</w:t>
            </w:r>
          </w:p>
        </w:tc>
        <w:tc>
          <w:tcPr>
            <w:tcW w:w="0" w:type="dxa"/>
            <w:vMerge w:val="restart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91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Style w:val="Msonormal"/>
                <w:sz w:val="24"/>
                <w:szCs w:val="24"/>
              </w:rPr>
              <w:t>Р/ счёт:</w:t>
            </w:r>
          </w:p>
        </w:tc>
        <w:tc>
          <w:tcPr>
            <w:tcW w:w="2680" w:type="dxa"/>
            <w:gridSpan w:val="2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Style w:val="Msonormal"/>
                <w:sz w:val="24"/>
                <w:szCs w:val="24"/>
              </w:rPr>
              <w:t>40702810777030027259</w:t>
            </w:r>
          </w:p>
        </w:tc>
      </w:tr>
      <w:tr>
        <w:trPr>
          <w:trHeight w:val="270" w:hRule="atLeast"/>
          <w:cantSplit w:val="true"/>
        </w:trPr>
        <w:tc>
          <w:tcPr>
            <w:tcW w:w="1983" w:type="dxa"/>
            <w:vMerge w:val="continue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Style w:val="Msonormal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86" w:type="dxa"/>
            <w:gridSpan w:val="2"/>
            <w:vMerge w:val="continue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Style w:val="Msonormal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0" w:type="dxa"/>
            <w:vMerge w:val="continue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91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Style w:val="Msonormal"/>
                <w:sz w:val="24"/>
                <w:szCs w:val="24"/>
              </w:rPr>
              <w:t>Банк:</w:t>
            </w:r>
          </w:p>
        </w:tc>
        <w:tc>
          <w:tcPr>
            <w:tcW w:w="2680" w:type="dxa"/>
            <w:gridSpan w:val="2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Style w:val="Msonormal"/>
                <w:sz w:val="24"/>
                <w:szCs w:val="24"/>
              </w:rPr>
              <w:t>Калужское отделение № 8608 ПАО Сбербанк</w:t>
            </w:r>
          </w:p>
        </w:tc>
      </w:tr>
      <w:tr>
        <w:trPr>
          <w:trHeight w:val="270" w:hRule="atLeast"/>
          <w:cantSplit w:val="true"/>
        </w:trPr>
        <w:tc>
          <w:tcPr>
            <w:tcW w:w="1983" w:type="dxa"/>
            <w:vMerge w:val="continue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Style w:val="Msonormal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86" w:type="dxa"/>
            <w:gridSpan w:val="2"/>
            <w:vMerge w:val="continue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Style w:val="Msonormal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0" w:type="dxa"/>
            <w:vMerge w:val="continue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91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Style w:val="Msonormal"/>
                <w:sz w:val="24"/>
                <w:szCs w:val="24"/>
              </w:rPr>
              <w:t>БИК:</w:t>
            </w:r>
          </w:p>
        </w:tc>
        <w:tc>
          <w:tcPr>
            <w:tcW w:w="2680" w:type="dxa"/>
            <w:gridSpan w:val="2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Style w:val="Msonormal"/>
                <w:sz w:val="24"/>
                <w:szCs w:val="24"/>
              </w:rPr>
              <w:t>042908612</w:t>
            </w:r>
          </w:p>
        </w:tc>
      </w:tr>
      <w:tr>
        <w:trPr>
          <w:trHeight w:val="297" w:hRule="atLeast"/>
          <w:cantSplit w:val="true"/>
        </w:trPr>
        <w:tc>
          <w:tcPr>
            <w:tcW w:w="1983" w:type="dxa"/>
            <w:vMerge w:val="continue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Style w:val="Msonormal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86" w:type="dxa"/>
            <w:gridSpan w:val="2"/>
            <w:vMerge w:val="continue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Style w:val="Msonormal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0" w:type="dxa"/>
            <w:vMerge w:val="continue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91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Style w:val="Msonormal"/>
                <w:sz w:val="24"/>
                <w:szCs w:val="24"/>
              </w:rPr>
              <w:t>Кор/ счёт:</w:t>
            </w:r>
          </w:p>
        </w:tc>
        <w:tc>
          <w:tcPr>
            <w:tcW w:w="2680" w:type="dxa"/>
            <w:gridSpan w:val="2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Style w:val="Msonormal"/>
                <w:sz w:val="24"/>
                <w:szCs w:val="24"/>
              </w:rPr>
              <w:t>30101810100000000612</w:t>
            </w:r>
          </w:p>
        </w:tc>
      </w:tr>
      <w:tr>
        <w:trPr>
          <w:cantSplit w:val="true"/>
        </w:trPr>
        <w:tc>
          <w:tcPr>
            <w:tcW w:w="4769" w:type="dxa"/>
            <w:gridSpan w:val="3"/>
            <w:tcBorders/>
          </w:tcPr>
          <w:p>
            <w:pPr>
              <w:pStyle w:val="Normal"/>
              <w:widowControl w:val="false"/>
              <w:jc w:val="both"/>
              <w:rPr>
                <w:rStyle w:val="Msonormal"/>
                <w:sz w:val="24"/>
                <w:szCs w:val="24"/>
              </w:rPr>
            </w:pPr>
            <w:r>
              <w:rPr>
                <w:rStyle w:val="Msonormal"/>
                <w:sz w:val="24"/>
                <w:szCs w:val="24"/>
              </w:rPr>
              <w:t>Генеральный директор:</w:t>
            </w:r>
          </w:p>
          <w:p>
            <w:pPr>
              <w:pStyle w:val="Normal"/>
              <w:widowControl w:val="false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Style w:val="Msonormal"/>
                <w:i/>
                <w:iCs/>
                <w:sz w:val="24"/>
                <w:szCs w:val="24"/>
                <w:highlight w:val="yellow"/>
              </w:rPr>
              <w:t>ПОДПИСЬ</w:t>
            </w:r>
            <w:r>
              <w:rPr>
                <w:rStyle w:val="Msonormal"/>
                <w:sz w:val="24"/>
                <w:szCs w:val="24"/>
                <w:highlight w:val="yellow"/>
              </w:rPr>
              <w:t> </w:t>
            </w:r>
            <w:r>
              <w:rPr>
                <w:rStyle w:val="Msonormal"/>
                <w:i/>
                <w:iCs/>
                <w:sz w:val="24"/>
                <w:szCs w:val="24"/>
                <w:highlight w:val="yellow"/>
              </w:rPr>
              <w:t>ФИО</w:t>
            </w:r>
            <w:r>
              <w:rPr>
                <w:rStyle w:val="Msonormal"/>
                <w:sz w:val="24"/>
                <w:szCs w:val="24"/>
                <w:highlight w:val="yellow"/>
              </w:rPr>
              <w:t>___________</w:t>
            </w:r>
          </w:p>
          <w:p>
            <w:pPr>
              <w:pStyle w:val="Normal"/>
              <w:widowControl w:val="false"/>
              <w:spacing w:before="0" w:after="1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591" w:type="dxa"/>
            <w:gridSpan w:val="4"/>
            <w:tcBorders/>
          </w:tcPr>
          <w:p>
            <w:pPr>
              <w:pStyle w:val="Normal"/>
              <w:widowControl w:val="false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</w:t>
            </w:r>
          </w:p>
          <w:p>
            <w:pPr>
              <w:pStyle w:val="Normal"/>
              <w:widowControl w:val="false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_______________________</w:t>
            </w:r>
          </w:p>
          <w:p>
            <w:pPr>
              <w:pStyle w:val="Normal"/>
              <w:widowControl w:val="false"/>
              <w:spacing w:before="0" w:after="1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М.П. / Колтыгин И.В. /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suppressAutoHyphens w:val="false"/>
        <w:spacing w:lineRule="auto" w:line="240"/>
        <w:jc w:val="center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Приложение №1 к Лицензионному договору </w:t>
      </w:r>
      <w:r>
        <w:rPr>
          <w:rFonts w:eastAsia="Times New Roman" w:cs="Times New Roman"/>
          <w:b/>
          <w:bCs/>
          <w:kern w:val="2"/>
          <w:sz w:val="22"/>
          <w:szCs w:val="22"/>
          <w:shd w:fill="auto" w:val="clear"/>
          <w:lang w:eastAsia="ru-RU"/>
        </w:rPr>
        <w:t>№______</w:t>
      </w:r>
      <w:r>
        <w:rPr>
          <w:rFonts w:cs="Times New Roman"/>
          <w:b/>
          <w:bCs/>
          <w:sz w:val="22"/>
          <w:szCs w:val="22"/>
          <w:shd w:fill="auto" w:val="clear"/>
        </w:rPr>
        <w:t xml:space="preserve"> </w:t>
      </w:r>
      <w:r>
        <w:rPr>
          <w:rFonts w:cs="Times New Roman"/>
          <w:b/>
          <w:bCs/>
          <w:sz w:val="22"/>
          <w:szCs w:val="22"/>
        </w:rPr>
        <w:t xml:space="preserve"> от   _____</w:t>
      </w:r>
    </w:p>
    <w:p>
      <w:pPr>
        <w:pStyle w:val="Normal"/>
        <w:spacing w:lineRule="auto" w:line="240" w:before="0" w:after="0"/>
        <w:jc w:val="center"/>
        <w:rPr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Спецификация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tbl>
      <w:tblPr>
        <w:tblW w:w="10372" w:type="dxa"/>
        <w:jc w:val="left"/>
        <w:tblInd w:w="69" w:type="dxa"/>
        <w:tblLayout w:type="fixed"/>
        <w:tblCellMar>
          <w:top w:w="0" w:type="dxa"/>
          <w:left w:w="3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260"/>
        <w:gridCol w:w="2869"/>
        <w:gridCol w:w="1620"/>
        <w:gridCol w:w="1628"/>
        <w:gridCol w:w="1370"/>
        <w:gridCol w:w="1624"/>
      </w:tblGrid>
      <w:tr>
        <w:trPr>
          <w:trHeight w:val="195" w:hRule="atLeast"/>
        </w:trPr>
        <w:tc>
          <w:tcPr>
            <w:tcW w:w="1260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720" w:hanging="72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№ </w:t>
            </w:r>
            <w:r>
              <w:rPr>
                <w:rFonts w:cs="Times New Roman"/>
                <w:b/>
                <w:sz w:val="22"/>
                <w:szCs w:val="22"/>
              </w:rPr>
              <w:t>п.п.</w:t>
            </w:r>
          </w:p>
        </w:tc>
        <w:tc>
          <w:tcPr>
            <w:tcW w:w="2869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720" w:hanging="72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620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2"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Лимиты</w:t>
            </w:r>
          </w:p>
        </w:tc>
        <w:tc>
          <w:tcPr>
            <w:tcW w:w="1628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2" w:firstLine="34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2" w:firstLine="34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2" w:firstLine="34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Количество рабочих мест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370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552" w:right="-2" w:hanging="72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Цена, руб.</w:t>
            </w:r>
          </w:p>
        </w:tc>
        <w:tc>
          <w:tcPr>
            <w:tcW w:w="1624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 w:hanging="72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Сумма, руб.</w:t>
            </w:r>
          </w:p>
          <w:p>
            <w:pPr>
              <w:pStyle w:val="Normal"/>
              <w:widowControl w:val="false"/>
              <w:spacing w:lineRule="auto" w:line="240" w:before="0" w:after="0"/>
              <w:ind w:left="720" w:hanging="72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(без НДС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пп.26 п.2 ст.149 Налогового кодекса РФ)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530" w:right="-2" w:hanging="72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</w:r>
          </w:p>
        </w:tc>
      </w:tr>
      <w:tr>
        <w:trPr>
          <w:trHeight w:val="1134" w:hRule="atLeast"/>
        </w:trPr>
        <w:tc>
          <w:tcPr>
            <w:tcW w:w="126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2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Право использования 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«</w:t>
            </w:r>
            <w:r>
              <w:rPr>
                <w:rFonts w:cs="Times New Roman"/>
                <w:sz w:val="22"/>
                <w:szCs w:val="22"/>
                <w:lang w:val="en-US"/>
              </w:rPr>
              <w:t>API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  <w:lang w:val="en-US"/>
              </w:rPr>
              <w:t>ExportBase</w:t>
            </w:r>
            <w:r>
              <w:rPr>
                <w:rFonts w:cs="Times New Roman"/>
                <w:sz w:val="22"/>
                <w:szCs w:val="22"/>
              </w:rPr>
              <w:t>» на 100 000 запросов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100 000</w:t>
            </w:r>
          </w:p>
        </w:tc>
        <w:tc>
          <w:tcPr>
            <w:tcW w:w="1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</w:tr>
      <w:tr>
        <w:trPr>
          <w:trHeight w:val="195" w:hRule="atLeast"/>
        </w:trPr>
        <w:tc>
          <w:tcPr>
            <w:tcW w:w="126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2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Итого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</w:tr>
    </w:tbl>
    <w:p>
      <w:pPr>
        <w:pStyle w:val="ListParagraph"/>
        <w:ind w:left="0" w:hanging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ListParagraph"/>
        <w:ind w:left="0" w:hanging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ListParagraph"/>
        <w:ind w:left="0" w:hanging="0"/>
        <w:jc w:val="both"/>
        <w:textAlignment w:val="auto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b/>
          <w:bCs/>
          <w:sz w:val="20"/>
          <w:szCs w:val="20"/>
        </w:rPr>
        <w:t>*Лимитом называется условная единица, в которую конвертируется каждая компания, полученная в результате запроса к Сервису. Правила конвертации компании зависят от ее даты регистрации и приведены ниже:</w:t>
      </w:r>
    </w:p>
    <w:p>
      <w:pPr>
        <w:pStyle w:val="ListParagraph"/>
        <w:ind w:left="0" w:hanging="0"/>
        <w:jc w:val="both"/>
        <w:textAlignment w:val="auto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 компании с недавней датой регистрации (младше 4 месяцев) действует повышающий множитель, равный 2. Это означает, что получение данных о новой компании уменьшит количество доступных запросов на 2.</w:t>
      </w:r>
    </w:p>
    <w:p>
      <w:pPr>
        <w:pStyle w:val="ListParagraph"/>
        <w:ind w:left="0" w:hanging="0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ListParagraph"/>
        <w:ind w:left="0" w:hanging="0"/>
        <w:jc w:val="both"/>
        <w:textAlignment w:val="auto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После выполнения запроса баланс клиента уменьшается на вычисленное по приведенным выше правилам количество лимитов.</w:t>
      </w:r>
    </w:p>
    <w:p>
      <w:pPr>
        <w:pStyle w:val="ListParagraph"/>
        <w:ind w:left="0" w:hanging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uppressAutoHyphens w:val="false"/>
        <w:spacing w:lineRule="auto" w:line="240" w:before="0" w:after="0"/>
        <w:rPr>
          <w:sz w:val="22"/>
          <w:szCs w:val="22"/>
        </w:rPr>
      </w:pPr>
      <w:r>
        <w:rPr>
          <w:rFonts w:cs="Times New Roman"/>
          <w:b/>
          <w:color w:val="000000"/>
          <w:sz w:val="22"/>
          <w:szCs w:val="22"/>
        </w:rPr>
        <w:t>Список запросов к Сервису, которые могут направляться по предоставленной лицензии: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  <w:b/>
          <w:b/>
          <w:color w:val="000000"/>
          <w:sz w:val="22"/>
          <w:szCs w:val="22"/>
        </w:rPr>
      </w:pPr>
      <w:r>
        <w:rPr>
          <w:rFonts w:cs="Times New Roman"/>
          <w:b/>
          <w:color w:val="000000"/>
          <w:sz w:val="22"/>
          <w:szCs w:val="22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  <w:b/>
          <w:b/>
          <w:color w:val="000000"/>
          <w:sz w:val="22"/>
          <w:szCs w:val="22"/>
        </w:rPr>
      </w:pPr>
      <w:r>
        <w:rPr>
          <w:rFonts w:cs="Times New Roman"/>
          <w:b/>
          <w:color w:val="000000"/>
          <w:sz w:val="22"/>
          <w:szCs w:val="22"/>
        </w:rPr>
      </w:r>
    </w:p>
    <w:tbl>
      <w:tblPr>
        <w:tblW w:w="10407" w:type="dxa"/>
        <w:jc w:val="left"/>
        <w:tblInd w:w="73" w:type="dxa"/>
        <w:tblLayout w:type="fixed"/>
        <w:tblCellMar>
          <w:top w:w="0" w:type="dxa"/>
          <w:left w:w="7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3"/>
        <w:gridCol w:w="3827"/>
        <w:gridCol w:w="3259"/>
        <w:gridCol w:w="2977"/>
      </w:tblGrid>
      <w:tr>
        <w:trPr>
          <w:trHeight w:val="476" w:hRule="atLeast"/>
        </w:trPr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Тип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Запрос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Учитывается в количестве компаний</w:t>
            </w:r>
          </w:p>
        </w:tc>
      </w:tr>
      <w:tr>
        <w:trPr>
          <w:trHeight w:val="288" w:hRule="atLeast"/>
        </w:trPr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Служебные методы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Проверка баланса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Нет</w:t>
            </w:r>
          </w:p>
        </w:tc>
      </w:tr>
      <w:tr>
        <w:trPr>
          <w:trHeight w:val="288" w:hRule="atLeast"/>
        </w:trPr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Служебные методы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Справочник городов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Нет</w:t>
            </w:r>
          </w:p>
        </w:tc>
      </w:tr>
      <w:tr>
        <w:trPr>
          <w:trHeight w:val="288" w:hRule="atLeast"/>
        </w:trPr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Служебные методы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Справочник регионов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Нет</w:t>
            </w:r>
          </w:p>
        </w:tc>
      </w:tr>
      <w:tr>
        <w:trPr>
          <w:trHeight w:val="167" w:hRule="atLeast"/>
        </w:trPr>
        <w:tc>
          <w:tcPr>
            <w:tcW w:w="3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A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A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Основные данные компании</w:t>
            </w:r>
          </w:p>
        </w:tc>
        <w:tc>
          <w:tcPr>
            <w:tcW w:w="32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A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Карточка компании</w:t>
            </w:r>
          </w:p>
        </w:tc>
        <w:tc>
          <w:tcPr>
            <w:tcW w:w="2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Да</w:t>
            </w:r>
          </w:p>
        </w:tc>
      </w:tr>
      <w:tr>
        <w:trPr>
          <w:trHeight w:val="117" w:hRule="atLeast"/>
        </w:trPr>
        <w:tc>
          <w:tcPr>
            <w:tcW w:w="3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A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A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Основные данные компании</w:t>
            </w:r>
          </w:p>
        </w:tc>
        <w:tc>
          <w:tcPr>
            <w:tcW w:w="32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A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Карточка новой (недавно зарегистрированной) компаний</w:t>
            </w:r>
          </w:p>
        </w:tc>
        <w:tc>
          <w:tcPr>
            <w:tcW w:w="2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Да</w:t>
            </w:r>
          </w:p>
        </w:tc>
      </w:tr>
    </w:tbl>
    <w:p>
      <w:pPr>
        <w:pStyle w:val="ListParagraph"/>
        <w:ind w:left="0" w:hanging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ListParagraph"/>
        <w:ind w:left="0" w:hanging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ListParagraph"/>
        <w:ind w:left="0" w:hanging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ListParagraph"/>
        <w:ind w:left="0" w:hanging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10598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val="04a0" w:noHBand="0" w:noVBand="1" w:firstColumn="1" w:lastRow="0" w:lastColumn="0" w:firstRow="1"/>
      </w:tblPr>
      <w:tblGrid>
        <w:gridCol w:w="5070"/>
        <w:gridCol w:w="5527"/>
      </w:tblGrid>
      <w:tr>
        <w:trPr/>
        <w:tc>
          <w:tcPr>
            <w:tcW w:w="5070" w:type="dxa"/>
            <w:tcBorders/>
            <w:shd w:fill="auto" w:val="clear"/>
          </w:tcPr>
          <w:p>
            <w:pPr>
              <w:pStyle w:val="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Сервис ExportBase:</w:t>
            </w:r>
          </w:p>
          <w:p>
            <w:pPr>
              <w:pStyle w:val="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 </w:t>
            </w:r>
          </w:p>
          <w:p>
            <w:pPr>
              <w:pStyle w:val="1"/>
              <w:widowControl w:val="false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ИП Колтыгин Иван Вадимович</w:t>
            </w:r>
          </w:p>
          <w:p>
            <w:pPr>
              <w:pStyle w:val="31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1"/>
              <w:widowControl w:val="false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Индивидуальный предприниматель</w:t>
            </w:r>
          </w:p>
          <w:p>
            <w:pPr>
              <w:pStyle w:val="1"/>
              <w:widowControl w:val="false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1"/>
              <w:widowControl w:val="false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_______________________ /Колтыгин И.В./</w:t>
            </w:r>
          </w:p>
          <w:p>
            <w:pPr>
              <w:pStyle w:val="31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М.П</w:t>
            </w:r>
          </w:p>
          <w:p>
            <w:pPr>
              <w:pStyle w:val="1"/>
              <w:widowControl w:val="false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527" w:type="dxa"/>
            <w:tcBorders/>
            <w:shd w:fill="auto" w:val="clear"/>
          </w:tcPr>
          <w:p>
            <w:pPr>
              <w:pStyle w:val="31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Пользователь:</w:t>
            </w:r>
          </w:p>
          <w:p>
            <w:pPr>
              <w:pStyle w:val="3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1"/>
              <w:widowControl w:val="false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</w:r>
          </w:p>
          <w:p>
            <w:pPr>
              <w:pStyle w:val="1"/>
              <w:widowControl w:val="false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</w:r>
          </w:p>
          <w:p>
            <w:pPr>
              <w:pStyle w:val="1"/>
              <w:widowControl w:val="false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</w:r>
          </w:p>
          <w:p>
            <w:pPr>
              <w:pStyle w:val="1"/>
              <w:widowControl w:val="false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1"/>
              <w:widowControl w:val="false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_______________________ /       ./</w:t>
            </w:r>
          </w:p>
          <w:p>
            <w:pPr>
              <w:pStyle w:val="31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М.П</w:t>
            </w:r>
          </w:p>
          <w:p>
            <w:pPr>
              <w:pStyle w:val="31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</w:tbl>
    <w:p>
      <w:pPr>
        <w:pStyle w:val="Normal"/>
        <w:suppressAutoHyphens w:val="false"/>
        <w:spacing w:lineRule="auto" w:line="240" w:before="0" w:after="200"/>
        <w:rPr>
          <w:sz w:val="22"/>
          <w:szCs w:val="22"/>
        </w:rPr>
      </w:pPr>
      <w:r>
        <w:rPr/>
      </w:r>
    </w:p>
    <w:sectPr>
      <w:type w:val="nextPage"/>
      <w:pgSz w:w="11906" w:h="16838"/>
      <w:pgMar w:left="920" w:right="846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nsola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/>
        <w:rFonts w:eastAsia="Times New Roman"/>
        <w:color w:val="000000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b/>
        <w:rFonts w:eastAsia="Times New Roman"/>
        <w:color w:val="000000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hanging="0"/>
      </w:pPr>
      <w:rPr>
        <w:b/>
        <w:rFonts w:eastAsia="Times New Roman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>
        <w:b/>
        <w:rFonts w:eastAsia="Times New Roman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>
        <w:b/>
        <w:rFonts w:eastAsia="Times New Roman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>
        <w:b/>
        <w:rFonts w:eastAsia="Times New Roman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>
        <w:b/>
        <w:rFonts w:eastAsia="Times New Roman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>
        <w:b/>
        <w:rFonts w:eastAsia="Times New Roman"/>
        <w:color w:val="000000"/>
      </w:r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e4511"/>
    <w:pPr>
      <w:widowControl/>
      <w:suppressAutoHyphens w:val="true"/>
      <w:bidi w:val="0"/>
      <w:spacing w:lineRule="auto" w:line="240" w:before="0" w:after="16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2e4511"/>
    <w:rPr>
      <w:color w:val="0563C1" w:themeColor="hyperlink"/>
      <w:u w:val="single"/>
    </w:rPr>
  </w:style>
  <w:style w:type="character" w:styleId="Emphasis">
    <w:name w:val="Emphasis"/>
    <w:uiPriority w:val="20"/>
    <w:qFormat/>
    <w:rsid w:val="002e4511"/>
    <w:rPr>
      <w:i/>
      <w:iCs/>
    </w:rPr>
  </w:style>
  <w:style w:type="character" w:styleId="Msonormal" w:customStyle="1">
    <w:name w:val="msonormal"/>
    <w:basedOn w:val="DefaultParagraphFont"/>
    <w:qFormat/>
    <w:rsid w:val="008d1835"/>
    <w:rPr>
      <w:rFonts w:ascii="Times New Roman" w:hAnsi="Times New Roman" w:cs="Times New Roman"/>
      <w:sz w:val="22"/>
      <w:szCs w:val="22"/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2e4511"/>
    <w:pPr>
      <w:spacing w:beforeAutospacing="1" w:afterAutospacing="1"/>
    </w:pPr>
    <w:rPr>
      <w:rFonts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2e4511"/>
    <w:pPr>
      <w:spacing w:lineRule="auto" w:line="259" w:before="0" w:after="160"/>
      <w:ind w:left="720" w:hanging="0"/>
      <w:contextualSpacing/>
    </w:pPr>
    <w:rPr>
      <w:rFonts w:ascii="Calibri" w:hAnsi="Calibri" w:eastAsia="Calibri" w:cs="Times New Roman"/>
      <w:sz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1">
    <w:name w:val="Текст1"/>
    <w:basedOn w:val="Normal"/>
    <w:qFormat/>
    <w:pPr>
      <w:spacing w:lineRule="auto" w:line="240" w:before="0" w:after="0"/>
    </w:pPr>
    <w:rPr>
      <w:rFonts w:ascii="Consolas" w:hAnsi="Consolas"/>
      <w:sz w:val="21"/>
      <w:szCs w:val="21"/>
    </w:rPr>
  </w:style>
  <w:style w:type="paragraph" w:styleId="31">
    <w:name w:val="Основной текст 31"/>
    <w:basedOn w:val="Normal"/>
    <w:qFormat/>
    <w:pPr>
      <w:widowControl w:val="false"/>
      <w:suppressAutoHyphens w:val="false"/>
      <w:snapToGrid w:val="false"/>
      <w:spacing w:lineRule="auto" w:line="240" w:before="0" w:after="0"/>
    </w:pPr>
    <w:rPr>
      <w:rFonts w:ascii="Times New Roman" w:hAnsi="Times New Roman" w:eastAsia="Times New Roman" w:cs="Times New Roman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xport-bas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Application>LibreOffice/7.3.7.2$Linux_X86_64 LibreOffice_project/30$Build-2</Application>
  <AppVersion>15.0000</AppVersion>
  <Pages>6</Pages>
  <Words>1721</Words>
  <Characters>11954</Characters>
  <CharactersWithSpaces>13560</CharactersWithSpaces>
  <Paragraphs>168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2025-08-19T12:40:00Z</dcterms:created>
  <dc:creator>Никита</dc:creator>
  <dc:description/>
  <dc:language>en-US</dc:language>
  <cp:lastModifiedBy/>
  <dcterms:modified xsi:type="dcterms:W3CDTF">2025-09-08T18:16:24Z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